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BBB" w:rsidRPr="00D36BBB" w:rsidRDefault="00D36BBB" w:rsidP="00D36B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6BBB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D36BBB" w:rsidRPr="00D36BBB" w:rsidRDefault="00D36BBB" w:rsidP="00D36B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6BBB">
        <w:rPr>
          <w:rFonts w:ascii="Times New Roman" w:eastAsia="Times New Roman" w:hAnsi="Times New Roman"/>
          <w:b/>
          <w:sz w:val="24"/>
          <w:szCs w:val="24"/>
          <w:lang w:eastAsia="ru-RU"/>
        </w:rPr>
        <w:t>МОКРООЛЬХОВСКОГО СЕЛЬСКОГО ПОСЕЛЕНИЯ</w:t>
      </w:r>
    </w:p>
    <w:p w:rsidR="00D36BBB" w:rsidRDefault="00D36BBB" w:rsidP="00D36B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6BBB">
        <w:rPr>
          <w:rFonts w:ascii="Times New Roman" w:eastAsia="Times New Roman" w:hAnsi="Times New Roman"/>
          <w:b/>
          <w:sz w:val="24"/>
          <w:szCs w:val="24"/>
          <w:lang w:eastAsia="ru-RU"/>
        </w:rPr>
        <w:t>КОТОВСКОГО МУНИЦИПАЛЬНОГО РАЙОНА ВОЛГОГРАДСКОЙ ОБЛАСТИ</w:t>
      </w:r>
    </w:p>
    <w:p w:rsidR="00D36BBB" w:rsidRPr="00D36BBB" w:rsidRDefault="00D36BBB" w:rsidP="00D36B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D36BBB" w:rsidRPr="00D36BBB" w:rsidRDefault="00D36BBB" w:rsidP="00D36BB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36BBB" w:rsidRPr="00D36BBB" w:rsidRDefault="00D36BBB" w:rsidP="00D36BB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36BBB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D36BBB" w:rsidRPr="00D36BBB" w:rsidRDefault="00D36BBB" w:rsidP="00D36BB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от 22 сентября 2022</w:t>
      </w:r>
      <w:r w:rsidRPr="00D36BB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                                                             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№ 58</w:t>
      </w:r>
    </w:p>
    <w:p w:rsidR="00D36BBB" w:rsidRDefault="00D36BBB" w:rsidP="00D36B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D36BBB" w:rsidRPr="00D36BBB" w:rsidRDefault="00D36BBB" w:rsidP="00D36B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6BBB"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Порядка проведения оценки налоговых расходов Мокроольховского сельского поселения Котовского муниципального района Волгоградской области</w:t>
      </w:r>
    </w:p>
    <w:p w:rsidR="00D36BBB" w:rsidRDefault="00D36BBB" w:rsidP="00D36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6BBB" w:rsidRDefault="00D36BBB" w:rsidP="00D36B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статьей 174.3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Бюджетного кодекса Российской Федерации, </w:t>
      </w:r>
      <w:hyperlink r:id="rId6" w:history="1">
        <w:r>
          <w:rPr>
            <w:rStyle w:val="a3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Правительства Российской Федерации от 22 июня 2019 г. N 796 "Об общих требованиях к оценке налоговых расходов субъектов Российской Федерации и муниципальных образований" Администрация Мокроольховского сельского поселения Котовского муниципального района Волгоградской области постановляет:</w:t>
      </w:r>
    </w:p>
    <w:p w:rsidR="00D36BBB" w:rsidRDefault="00565388" w:rsidP="00D36B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36BBB">
        <w:rPr>
          <w:rFonts w:ascii="Times New Roman" w:eastAsia="Times New Roman" w:hAnsi="Times New Roman"/>
          <w:sz w:val="24"/>
          <w:szCs w:val="24"/>
          <w:lang w:eastAsia="ru-RU"/>
        </w:rPr>
        <w:t xml:space="preserve">. Утвердить  </w:t>
      </w:r>
      <w:hyperlink r:id="rId7" w:anchor="P28" w:history="1">
        <w:r w:rsidR="00D36BBB" w:rsidRPr="00D36BBB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Порядок</w:t>
        </w:r>
      </w:hyperlink>
      <w:r w:rsidR="00D36BBB" w:rsidRPr="00D36B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36BBB">
        <w:rPr>
          <w:rFonts w:ascii="Times New Roman" w:eastAsia="Times New Roman" w:hAnsi="Times New Roman"/>
          <w:sz w:val="24"/>
          <w:szCs w:val="24"/>
          <w:lang w:eastAsia="ru-RU"/>
        </w:rPr>
        <w:t>проведения оценки налоговых расходов Мокроольховского сельского поселения Котовского муниципально</w:t>
      </w:r>
      <w:r w:rsidR="002D3669">
        <w:rPr>
          <w:rFonts w:ascii="Times New Roman" w:eastAsia="Times New Roman" w:hAnsi="Times New Roman"/>
          <w:sz w:val="24"/>
          <w:szCs w:val="24"/>
          <w:lang w:eastAsia="ru-RU"/>
        </w:rPr>
        <w:t xml:space="preserve">го района Волгоградской области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приложением № 1</w:t>
      </w:r>
      <w:r w:rsidR="002D366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59E3" w:rsidRDefault="00565388" w:rsidP="00D36B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C59E3">
        <w:rPr>
          <w:rFonts w:ascii="Times New Roman" w:eastAsia="Times New Roman" w:hAnsi="Times New Roman"/>
          <w:sz w:val="24"/>
          <w:szCs w:val="24"/>
          <w:lang w:eastAsia="ru-RU"/>
        </w:rPr>
        <w:t>. Признать утратившим силу постановление № 109 от 16.12.2019 года «Об утверждении Порядка проведения оценки налоговых расходов Мокроольховского сельского поселения».</w:t>
      </w:r>
    </w:p>
    <w:p w:rsidR="00D36BBB" w:rsidRDefault="00565388" w:rsidP="00D36B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36BBB">
        <w:rPr>
          <w:rFonts w:ascii="Times New Roman" w:eastAsia="Times New Roman" w:hAnsi="Times New Roman"/>
          <w:sz w:val="24"/>
          <w:szCs w:val="24"/>
          <w:lang w:eastAsia="ru-RU"/>
        </w:rPr>
        <w:t>. Настоящее постанов</w:t>
      </w:r>
      <w:r w:rsidR="00DB721C">
        <w:rPr>
          <w:rFonts w:ascii="Times New Roman" w:eastAsia="Times New Roman" w:hAnsi="Times New Roman"/>
          <w:sz w:val="24"/>
          <w:szCs w:val="24"/>
          <w:lang w:eastAsia="ru-RU"/>
        </w:rPr>
        <w:t>ление вступает в силу со дня</w:t>
      </w:r>
      <w:r w:rsidR="00D36BBB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подписания</w:t>
      </w:r>
      <w:r w:rsidR="00DB721C">
        <w:rPr>
          <w:rFonts w:ascii="Times New Roman" w:eastAsia="Times New Roman" w:hAnsi="Times New Roman"/>
          <w:sz w:val="24"/>
          <w:szCs w:val="24"/>
          <w:lang w:eastAsia="ru-RU"/>
        </w:rPr>
        <w:t xml:space="preserve">,  распространяет  свое действие с </w:t>
      </w:r>
      <w:r w:rsidR="00D36B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721C">
        <w:rPr>
          <w:rFonts w:ascii="Times New Roman" w:eastAsia="Times New Roman" w:hAnsi="Times New Roman"/>
          <w:sz w:val="24"/>
          <w:szCs w:val="24"/>
          <w:lang w:eastAsia="ru-RU"/>
        </w:rPr>
        <w:t xml:space="preserve">01 сентября 2022 года </w:t>
      </w:r>
      <w:r w:rsidR="00D36BBB">
        <w:rPr>
          <w:rFonts w:ascii="Times New Roman" w:eastAsia="Times New Roman" w:hAnsi="Times New Roman"/>
          <w:sz w:val="24"/>
          <w:szCs w:val="24"/>
          <w:lang w:eastAsia="ru-RU"/>
        </w:rPr>
        <w:t>и подлежит обнародованию.</w:t>
      </w:r>
    </w:p>
    <w:p w:rsidR="00DB721C" w:rsidRDefault="00565388" w:rsidP="00D36B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B721C">
        <w:rPr>
          <w:rFonts w:ascii="Times New Roman" w:eastAsia="Times New Roman" w:hAnsi="Times New Roman"/>
          <w:sz w:val="24"/>
          <w:szCs w:val="24"/>
          <w:lang w:eastAsia="ru-RU"/>
        </w:rPr>
        <w:t>. Контроль, за исполнением настоящего постановления оставляю за собой.</w:t>
      </w:r>
    </w:p>
    <w:p w:rsidR="00D36BBB" w:rsidRDefault="00D36BBB" w:rsidP="00D36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6BBB" w:rsidRDefault="00D36BBB" w:rsidP="00D36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6BBB" w:rsidRDefault="00D36BBB" w:rsidP="00D36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6BBB" w:rsidRDefault="00D36BBB" w:rsidP="00D36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6BBB" w:rsidRDefault="00D36BBB" w:rsidP="00D36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6BBB" w:rsidRDefault="00D36BBB" w:rsidP="00D36BBB">
      <w:pPr>
        <w:pStyle w:val="ConsPlusNormal0"/>
        <w:tabs>
          <w:tab w:val="center" w:pos="5037"/>
        </w:tabs>
        <w:ind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bCs/>
          <w:sz w:val="28"/>
          <w:szCs w:val="28"/>
        </w:rPr>
        <w:t>Мокроольховского</w:t>
      </w: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D36BBB" w:rsidRDefault="00D36BBB" w:rsidP="00D36BBB">
      <w:pPr>
        <w:pStyle w:val="ConsPlusNormal0"/>
        <w:tabs>
          <w:tab w:val="center" w:pos="5037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Т.Ю.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Мустафаева</w:t>
      </w:r>
      <w:proofErr w:type="spellEnd"/>
    </w:p>
    <w:p w:rsidR="00D36BBB" w:rsidRDefault="00D36BBB" w:rsidP="00316304">
      <w:pPr>
        <w:spacing w:before="195" w:after="0" w:line="240" w:lineRule="atLeast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</w:p>
    <w:p w:rsidR="00D36BBB" w:rsidRDefault="00D36BBB" w:rsidP="00316304">
      <w:pPr>
        <w:spacing w:before="195" w:after="0" w:line="240" w:lineRule="atLeast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</w:p>
    <w:p w:rsidR="00D36BBB" w:rsidRDefault="00D36BBB" w:rsidP="00316304">
      <w:pPr>
        <w:spacing w:before="195" w:after="0" w:line="240" w:lineRule="atLeast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</w:p>
    <w:p w:rsidR="008C59E3" w:rsidRDefault="008C59E3" w:rsidP="00316304">
      <w:pPr>
        <w:spacing w:before="195" w:after="0" w:line="240" w:lineRule="atLeast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</w:p>
    <w:p w:rsidR="008C59E3" w:rsidRDefault="008C59E3" w:rsidP="00316304">
      <w:pPr>
        <w:spacing w:before="195" w:after="0" w:line="240" w:lineRule="atLeast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</w:p>
    <w:p w:rsidR="008C59E3" w:rsidRDefault="008C59E3" w:rsidP="00316304">
      <w:pPr>
        <w:spacing w:before="195" w:after="0" w:line="240" w:lineRule="atLeast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</w:p>
    <w:p w:rsidR="008C59E3" w:rsidRDefault="008C59E3" w:rsidP="00316304">
      <w:pPr>
        <w:spacing w:before="195" w:after="0" w:line="240" w:lineRule="atLeast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</w:p>
    <w:p w:rsidR="00316304" w:rsidRDefault="00316304" w:rsidP="00316304">
      <w:pPr>
        <w:spacing w:before="195" w:after="0" w:line="240" w:lineRule="atLeast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</w:p>
    <w:p w:rsidR="00316304" w:rsidRDefault="00316304" w:rsidP="00316304">
      <w:pPr>
        <w:spacing w:before="195" w:after="0" w:line="240" w:lineRule="atLeast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</w:p>
    <w:p w:rsidR="00316304" w:rsidRDefault="00316304" w:rsidP="00316304">
      <w:pPr>
        <w:spacing w:before="195" w:after="0" w:line="240" w:lineRule="atLeast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</w:p>
    <w:p w:rsidR="00316304" w:rsidRDefault="00316304" w:rsidP="00316304">
      <w:pPr>
        <w:spacing w:before="195" w:after="0" w:line="240" w:lineRule="atLeast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</w:p>
    <w:p w:rsidR="003828D4" w:rsidRPr="00CC3CD5" w:rsidRDefault="00565388" w:rsidP="003828D4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03F50"/>
          <w:sz w:val="24"/>
          <w:szCs w:val="24"/>
          <w:lang w:eastAsia="ru-RU"/>
        </w:rPr>
        <w:lastRenderedPageBreak/>
        <w:t xml:space="preserve">                        </w:t>
      </w:r>
      <w:r w:rsidR="003828D4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Приложение</w:t>
      </w:r>
    </w:p>
    <w:p w:rsidR="003828D4" w:rsidRPr="00CC3CD5" w:rsidRDefault="003828D4" w:rsidP="003828D4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 постановлению администрации</w:t>
      </w:r>
    </w:p>
    <w:p w:rsidR="003828D4" w:rsidRPr="00CC3CD5" w:rsidRDefault="003828D4" w:rsidP="003828D4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Мокроольховского сельского поселения</w:t>
      </w:r>
    </w:p>
    <w:p w:rsidR="00316304" w:rsidRPr="00CC3CD5" w:rsidRDefault="003828D4" w:rsidP="003828D4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от 22 сентября 2022 года № 58</w:t>
      </w:r>
      <w:r w:rsidR="00565388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316304" w:rsidRPr="00CC3CD5" w:rsidRDefault="00316304" w:rsidP="00316304">
      <w:pPr>
        <w:spacing w:before="195" w:after="0" w:line="240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C3CD5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Порядок проведения оценки налоговых расходов</w:t>
      </w:r>
      <w:r w:rsidR="008003F6" w:rsidRPr="00CC3CD5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 Мокроольховского</w:t>
      </w:r>
      <w:r w:rsidRPr="00CC3CD5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 сельского поселения </w:t>
      </w:r>
      <w:r w:rsidR="008003F6" w:rsidRPr="00CC3CD5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Котовского</w:t>
      </w:r>
      <w:r w:rsidRPr="00CC3CD5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 муниципального района Волгоградской области</w:t>
      </w:r>
    </w:p>
    <w:p w:rsidR="00316304" w:rsidRPr="00CC3CD5" w:rsidRDefault="00316304" w:rsidP="00316304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1. </w:t>
      </w:r>
      <w:proofErr w:type="gramStart"/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Порядок проведения оценки налоговых расходов </w:t>
      </w:r>
      <w:r w:rsidR="008003F6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Мокроольховского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сельского поселения </w:t>
      </w:r>
      <w:r w:rsidR="008003F6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Котовского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муниципального района Волгоградской области (далее именуется - Порядок) определяет требования к порядку и критериям проведения оценки налоговых расходов </w:t>
      </w:r>
      <w:r w:rsidR="008003F6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Мокроольховского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сельского поселения </w:t>
      </w:r>
      <w:r w:rsidR="008003F6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Котовского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муниципального района </w:t>
      </w:r>
      <w:r w:rsidR="008003F6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Волгоградской области 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кураторами налоговых расходов </w:t>
      </w:r>
      <w:r w:rsidR="008003F6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Мокроольховского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сельского поселения </w:t>
      </w:r>
      <w:r w:rsidR="008003F6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Котовского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муниципального района</w:t>
      </w:r>
      <w:r w:rsidR="008003F6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Волгоградской области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, правила формирования информации о нормативных, целевых и фискальных характеристиках налоговых расходов </w:t>
      </w:r>
      <w:r w:rsidR="008003F6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Мокроольховского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сельского поселения </w:t>
      </w:r>
      <w:r w:rsidR="008003F6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Котовского</w:t>
      </w:r>
      <w:proofErr w:type="gramEnd"/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муниципального района</w:t>
      </w:r>
      <w:r w:rsidR="008003F6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Волгоградской области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, порядок </w:t>
      </w:r>
      <w:proofErr w:type="gramStart"/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обобщения результатов оценки эффективности налоговых </w:t>
      </w:r>
      <w:r w:rsid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расходов</w:t>
      </w:r>
      <w:proofErr w:type="gramEnd"/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="008003F6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Мокроольховского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сельского поселения </w:t>
      </w:r>
      <w:r w:rsidR="008003F6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Котовского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муниципального района</w:t>
      </w:r>
      <w:r w:rsidR="008003F6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Волгоградской области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, осуществляемой куратором налоговых расходов </w:t>
      </w:r>
      <w:r w:rsidR="008003F6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Мокроольховского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сельского поселения </w:t>
      </w:r>
      <w:r w:rsidR="008003F6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Котовского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муниципального района</w:t>
      </w:r>
      <w:r w:rsidR="008003F6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Волгоградской области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316304" w:rsidRPr="00CC3CD5" w:rsidRDefault="00316304" w:rsidP="00316304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 Понятия и термины, используемые в Порядке, применяются в значениях, определенных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Федерации.</w:t>
      </w:r>
    </w:p>
    <w:p w:rsidR="00316304" w:rsidRPr="00CC3CD5" w:rsidRDefault="00316304" w:rsidP="00316304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3. </w:t>
      </w:r>
      <w:proofErr w:type="gramStart"/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Отнесение налоговых расходов </w:t>
      </w:r>
      <w:r w:rsidR="008003F6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Мокроольховского сельского поселения Котовского муниципального района  Волгоградской области 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(далее именуются - налоговые расходы) к муниципальным программам </w:t>
      </w:r>
      <w:r w:rsidR="008003F6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Мокроольховского сельского поселения Котовского муниципального района  Волгоградской области, 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осуществляется исходя из целей, структурных элементов муниципальных программ и (или) целей социально-экономической политики </w:t>
      </w:r>
      <w:r w:rsidR="008003F6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Мокроольховского сельского поселения Котовского муниципального района  Волгоградской области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, не относящихся к муниципальным программам </w:t>
      </w:r>
      <w:r w:rsidR="008003F6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Мокроольховского сельского поселения Котовского муниципального района  Волгоградской области</w:t>
      </w:r>
      <w:proofErr w:type="gramEnd"/>
    </w:p>
    <w:p w:rsidR="00316304" w:rsidRPr="00CC3CD5" w:rsidRDefault="00316304" w:rsidP="00316304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 Формирование информации о нормативных, целевых и фискальных характеристиках налоговых расходов осуществляется посредством межведомственного взаимодействия в соответствии с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образований».</w:t>
      </w:r>
    </w:p>
    <w:p w:rsidR="00316304" w:rsidRPr="00CC3CD5" w:rsidRDefault="00316304" w:rsidP="00316304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 Оценка эффективности налоговых расходов осуществляется кураторами налоговых расходов и включает:</w:t>
      </w:r>
    </w:p>
    <w:p w:rsidR="00316304" w:rsidRPr="00CC3CD5" w:rsidRDefault="00316304" w:rsidP="00316304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оценку целесообразности налоговых расходов;</w:t>
      </w:r>
    </w:p>
    <w:p w:rsidR="00316304" w:rsidRPr="00CC3CD5" w:rsidRDefault="00316304" w:rsidP="00316304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оценку результативности налоговых расходов.</w:t>
      </w:r>
    </w:p>
    <w:p w:rsidR="00316304" w:rsidRPr="00CC3CD5" w:rsidRDefault="00316304" w:rsidP="00316304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6. Критериями целесообразности налоговых расходов являются:</w:t>
      </w:r>
    </w:p>
    <w:p w:rsidR="00316304" w:rsidRPr="00CC3CD5" w:rsidRDefault="00316304" w:rsidP="00316304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соответствие налоговых расходов целям, структурным элементам муниципальных программ </w:t>
      </w:r>
      <w:r w:rsidR="008003F6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Мокроольховского сельского поселения Котовского муниципального района  Волгоградской области 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и (или) целям социально-экономической политики </w:t>
      </w:r>
      <w:r w:rsidR="008003F6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Мокроольховского сельского поселения Котовского муниципального района  Волгоградской области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, не относящимся к муниципальным программам </w:t>
      </w:r>
      <w:r w:rsidR="008003F6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Мокроольховского сельского поселения Котовского муниципального района  Волгоградской области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;</w:t>
      </w:r>
    </w:p>
    <w:p w:rsidR="00316304" w:rsidRPr="00CC3CD5" w:rsidRDefault="00316304" w:rsidP="00316304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востребованность плательщиками предоставленных льгот, </w:t>
      </w:r>
      <w:proofErr w:type="gramStart"/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которая</w:t>
      </w:r>
      <w:proofErr w:type="gramEnd"/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пятилетний период.</w:t>
      </w:r>
    </w:p>
    <w:p w:rsidR="00316304" w:rsidRPr="00CC3CD5" w:rsidRDefault="00316304" w:rsidP="00316304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316304" w:rsidRPr="00CC3CD5" w:rsidRDefault="00316304" w:rsidP="00316304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7. В случае несоответствия налоговых расходов хотя бы одному из критериев, указанных в пункте 6 Порядка, куратору налогового расхода надлежит представить главе </w:t>
      </w:r>
      <w:r w:rsidR="008003F6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Мокроольховского сельского поселения Котовского муниципального района  Волгоградской области 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предложения о сохранении (уточнении, отмене) льгот для плательщиков.</w:t>
      </w:r>
    </w:p>
    <w:p w:rsidR="00316304" w:rsidRPr="00CC3CD5" w:rsidRDefault="00316304" w:rsidP="00316304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8. </w:t>
      </w:r>
      <w:proofErr w:type="gramStart"/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 </w:t>
      </w:r>
      <w:r w:rsidR="008003F6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Мокроольховского сельского поселения Котовского муниципального района  Волгоградской области 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и (или) целей социально-экономической политики </w:t>
      </w:r>
      <w:r w:rsidR="008003F6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Мокроольховского сельского поселения Котовского муниципального района  Волгоградской области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, не относящихся к муниципальным программам </w:t>
      </w:r>
      <w:r w:rsidR="008003F6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Мокроольховского сельского поселения Котовского муниципального района  Волгоградской области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либо иной показатель (индикатор), на значение которого оказывают влияние налоговые</w:t>
      </w:r>
      <w:proofErr w:type="gramEnd"/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расходы.</w:t>
      </w:r>
    </w:p>
    <w:p w:rsidR="00316304" w:rsidRPr="00CC3CD5" w:rsidRDefault="00316304" w:rsidP="00316304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программы </w:t>
      </w:r>
      <w:r w:rsidR="008003F6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Мокроольховского сельского поселения Котовского муниципального района  Волгоградской области 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и (или) целей социально-экономической политики </w:t>
      </w:r>
      <w:r w:rsidR="008003F6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Мокроольховского сельского поселения Котовского муниципального района  Волгоградской области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, не относящихся к муниципальным программам </w:t>
      </w:r>
      <w:r w:rsidR="008003F6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Мокроольховского сельского поселения Котовского муниципального района  Волгоградской области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который рассчитывается как разница между значением указанного показателя (индикатора) с</w:t>
      </w:r>
      <w:proofErr w:type="gramEnd"/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учетом льгот и значением указанного показателя (индикатора) без учета льгот.</w:t>
      </w:r>
    </w:p>
    <w:p w:rsidR="00316304" w:rsidRPr="00CC3CD5" w:rsidRDefault="00316304" w:rsidP="00316304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9. Оценка результативности налоговых расходов включает оценку бюджетной эффективности налоговых расходов.</w:t>
      </w:r>
    </w:p>
    <w:p w:rsidR="00316304" w:rsidRPr="00CC3CD5" w:rsidRDefault="00316304" w:rsidP="00316304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10. </w:t>
      </w:r>
      <w:proofErr w:type="gramStart"/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</w:t>
      </w:r>
      <w:r w:rsidR="00782001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Мокроольховского сельского поселения Котовского муниципального района  Волгоградской области 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и (или) целей социально-экономической политики </w:t>
      </w:r>
      <w:r w:rsidR="00782001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Мокроольховского сельского поселения Котовского муниципального района  Волгоградской области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, не относящихся к муниципальным программам </w:t>
      </w:r>
      <w:r w:rsidR="00782001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Мокроольховского сельского поселения Котовского муниципального района  Волгоградской области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  <w:proofErr w:type="gramEnd"/>
    </w:p>
    <w:p w:rsidR="00316304" w:rsidRPr="00CC3CD5" w:rsidRDefault="00316304" w:rsidP="00316304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11. </w:t>
      </w:r>
      <w:proofErr w:type="gramStart"/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Сравнительный анализ включает сравнение объемов расходов бюджета </w:t>
      </w:r>
      <w:r w:rsidR="00782001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Мокроольховского сельского поселения Котовского муниципального района  Волгоградской области 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 случае применения альтернативных механизмов достижения 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 xml:space="preserve">целей муниципальной программы </w:t>
      </w:r>
      <w:r w:rsidR="00782001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Мокроольховского сельского поселения Котовского муниципального района  Волгоградской области 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и (или) целей социально-экономической политики </w:t>
      </w:r>
      <w:r w:rsidR="00782001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Мокроольховского сельского поселения Котовского муниципального района  Волгоградской области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, не относящихся к муниципальным программам </w:t>
      </w:r>
      <w:r w:rsidR="00782001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Мокроольховского сельского поселения Котовского муниципального района  Волгоградской области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и объемов</w:t>
      </w:r>
      <w:proofErr w:type="gramEnd"/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proofErr w:type="gramStart"/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предоставленных льгот (расчет прироста показателя (индикатора) достижения целей муниципальной программы </w:t>
      </w:r>
      <w:r w:rsidR="00782001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Мокроольховского сельского поселения Котовского муниципального района  Волгоградской области 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и (или) целей социально-экономической политики Волгоградской области, не относящихся к муниципальным программам </w:t>
      </w:r>
      <w:r w:rsidR="00782001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Мокроольховского сельского поселения Котовского муниципального района  Волгоградской области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, на 1 рубль налоговых расходов и на 1 рубль расходов бюджета </w:t>
      </w:r>
      <w:r w:rsidR="00782001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Мокроольховского сельского поселения Котовского муниципального района  Волгоградской области 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для достижения того</w:t>
      </w:r>
      <w:proofErr w:type="gramEnd"/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proofErr w:type="gramStart"/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же</w:t>
      </w:r>
      <w:proofErr w:type="gramEnd"/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показателя (индикатора) в случае применения альтернативных механизмов).</w:t>
      </w:r>
    </w:p>
    <w:p w:rsidR="00316304" w:rsidRPr="00CC3CD5" w:rsidRDefault="00316304" w:rsidP="00316304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 качестве альтернативных механизмов достижения целей муниципальной программы </w:t>
      </w:r>
      <w:r w:rsidR="00782001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Мокроольховского сельского поселения Котовского муниципального района  Волгоградской области 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и (или) целей социально-экономической политики </w:t>
      </w:r>
      <w:r w:rsidR="00782001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Мокроольховского сельского поселения Котовского муниципального района  Волгоградской области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, не относящихся к муниципальным программам </w:t>
      </w:r>
      <w:r w:rsidR="00782001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Мокроольховского сельского поселения Котовского муниципального района  Волгоградской области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могут учитываться в том числе:</w:t>
      </w:r>
    </w:p>
    <w:p w:rsidR="00316304" w:rsidRPr="00CC3CD5" w:rsidRDefault="00316304" w:rsidP="00316304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субсидии или иные формы непосредственной финансовой поддержки плательщиков, имеющих право на льготы, за счет средств бюджета </w:t>
      </w:r>
      <w:r w:rsidR="00D94437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Мокроольховского сельского поселения Котовского муниципального района  Волгоградской области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;</w:t>
      </w:r>
    </w:p>
    <w:p w:rsidR="00316304" w:rsidRPr="00CC3CD5" w:rsidRDefault="00316304" w:rsidP="00316304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предоставление муниципальных гарантий </w:t>
      </w:r>
      <w:r w:rsidR="00D94437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Мокроольховского сельского поселения Котовского муниципального района  Волгоградской области 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 обязательствам плательщиков, имеющих право на льготы;</w:t>
      </w:r>
    </w:p>
    <w:p w:rsidR="00316304" w:rsidRPr="00CC3CD5" w:rsidRDefault="00316304" w:rsidP="00316304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316304" w:rsidRPr="00CC3CD5" w:rsidRDefault="00316304" w:rsidP="00316304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12. </w:t>
      </w:r>
      <w:proofErr w:type="gramStart"/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По итогам оценки эффективности налогового расхода куратор налогового расхода формулирует в виде аналитической записки выводы о достижении целевых характеристик налогового расхода, вкладе налогового расхода в достижение целей муниципальной программы </w:t>
      </w:r>
      <w:r w:rsidR="00D94437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Мокроольховского сельского поселения Котовского муниципального района  Волгоградской области 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и (или) целей социально-экономической политики </w:t>
      </w:r>
      <w:r w:rsidR="00D94437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Мокроольховского сельского поселения Котовского муниципального района  Волгоградской области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, не относящихся к муниципальным программам </w:t>
      </w:r>
      <w:r w:rsidR="00D94437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Мокроольховского сельского поселения Котовского муниципального</w:t>
      </w:r>
      <w:proofErr w:type="gramEnd"/>
      <w:r w:rsidR="00D94437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proofErr w:type="gramStart"/>
      <w:r w:rsidR="00D94437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района  Волгоградской области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, а также о наличии или об отсутствии более результативных (менее затратных для бюджета </w:t>
      </w:r>
      <w:r w:rsidR="00D94437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Мокроольховского сельского поселения Котовского муниципального района  Волгоградской области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) альтернативных механизмов достижения </w:t>
      </w:r>
      <w:r w:rsidR="00D94437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целей муниципальной программы Мокроольховского сельского поселения Котовского муниципального района  Волгоградской области 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и (или) целей социально-экономической политики </w:t>
      </w:r>
      <w:r w:rsidR="00D94437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Мокроольховского сельского поселения Котовского муниципального района  Волгоградской области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, не относящихся к муниципальным программам </w:t>
      </w:r>
      <w:r w:rsidR="00D94437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Мокроольховского сельского поселения Котовского</w:t>
      </w:r>
      <w:proofErr w:type="gramEnd"/>
      <w:r w:rsidR="00D94437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муниципального района  Волгоградской области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316304" w:rsidRPr="00CC3CD5" w:rsidRDefault="00316304" w:rsidP="00621236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 xml:space="preserve">13. </w:t>
      </w:r>
      <w:r w:rsidR="0062123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Администрация Мокроольховского сельского поселения формирует оценку эффективности налоговых расходов муниципального образования на основе данных, представленных кураторами налоговых расходов.</w:t>
      </w:r>
    </w:p>
    <w:p w:rsidR="00316304" w:rsidRDefault="00316304" w:rsidP="00316304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Результаты рассмотрения оценки налоговых расходов учитываются при формировании основных направлений бюджетной и налоговой политики </w:t>
      </w:r>
      <w:r w:rsidR="00D94437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Мокроольховского сельского поселения Котовского муниципального района  Волгоградской области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, а также при проведении оценки эффективности реализации муниципальных программ </w:t>
      </w:r>
      <w:r w:rsidR="00D94437"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Мокроольховского сельского поселения Котовского муниципального района  Волгоградской области</w:t>
      </w:r>
      <w:r w:rsidRPr="00CC3CD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3B1A21" w:rsidRPr="00CC3CD5" w:rsidRDefault="003B1A2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B1A21" w:rsidRPr="00CC3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04"/>
    <w:rsid w:val="000C0525"/>
    <w:rsid w:val="002D3669"/>
    <w:rsid w:val="00316304"/>
    <w:rsid w:val="00376FF8"/>
    <w:rsid w:val="003828D4"/>
    <w:rsid w:val="003B1A21"/>
    <w:rsid w:val="00565388"/>
    <w:rsid w:val="005F1794"/>
    <w:rsid w:val="00621236"/>
    <w:rsid w:val="00703283"/>
    <w:rsid w:val="00770DFF"/>
    <w:rsid w:val="00782001"/>
    <w:rsid w:val="008003F6"/>
    <w:rsid w:val="008C59E3"/>
    <w:rsid w:val="00A0600B"/>
    <w:rsid w:val="00A57FED"/>
    <w:rsid w:val="00B64039"/>
    <w:rsid w:val="00CC3CD5"/>
    <w:rsid w:val="00D36BBB"/>
    <w:rsid w:val="00D94437"/>
    <w:rsid w:val="00DB721C"/>
    <w:rsid w:val="00DD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36BBB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D36B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semiHidden/>
    <w:unhideWhenUsed/>
    <w:rsid w:val="00D36B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36BBB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D36B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semiHidden/>
    <w:unhideWhenUsed/>
    <w:rsid w:val="00D36B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AppData\Local\Temp\Temp2_09-12-2019_08-52-32.zip\&#1055;&#1086;&#1089;&#1090;%20&#1040;&#1076;&#1084;%20&#1042;&#1076;%20&#1086;&#1073;&#1083;%20460-&#1087;%20&#1074;%20&#1087;&#1086;&#1089;&#1077;&#1083;&#1077;&#1085;&#1080;&#1103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1367D8CD6EAC9B7FE397FB18CA1B6202BB3F5C8BAE02D22474940543F5ED4C2930B08724E1D682AAB1167173oEVAG" TargetMode="External"/><Relationship Id="rId5" Type="http://schemas.openxmlformats.org/officeDocument/2006/relationships/hyperlink" Target="consultantplus://offline/ref=2A1367D8CD6EAC9B7FE397FB18CA1B6202BA3E5F8AA602D22474940543F5ED4C3B30E88E23E1C188FCFE50247FE351D1E0DC3F9EE09Bo8V7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22</cp:revision>
  <cp:lastPrinted>2022-09-30T12:51:00Z</cp:lastPrinted>
  <dcterms:created xsi:type="dcterms:W3CDTF">2022-09-28T11:15:00Z</dcterms:created>
  <dcterms:modified xsi:type="dcterms:W3CDTF">2022-09-30T12:52:00Z</dcterms:modified>
</cp:coreProperties>
</file>